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w:t>
      </w:r>
    </w:p>
    <w:p>
      <w:r>
        <w:t>Bundesgericht (BGE), 2018-01-17, DE</w:t>
      </w:r>
    </w:p>
    <w:p>
      <w:r>
        <w:rPr>
          <w:b/>
        </w:rPr>
        <w:t xml:space="preserve">Quelle: </w:t>
      </w:r>
      <w:r>
        <w:t>https://mcp.opencaselaw.ch/entscheid/bge_144 IV 17</w:t>
      </w:r>
    </w:p>
    <w:p>
      <w:r>
        <w:t>FR: ATF 144 IV 17</w:t>
      </w:r>
    </w:p>
    <w:p>
      <w:r>
        <w:t>IT: DTF 144 IV 17</w:t>
      </w:r>
    </w:p>
    <w:p>
      <w:pPr>
        <w:pStyle w:val="Heading2"/>
      </w:pPr>
      <w:r>
        <w:t>Regeste</w:t>
      </w:r>
    </w:p>
    <w:p>
      <w:r>
        <w:t>Regeste Art. 105 Abs. 1 lit. f und Art. 383 Abs. 1 StPO; durch Verfahrenshandlungen beschwerte Dritte; Sicherheitsleistung im Rechtsmittelverfahren. Von einer Einziehung betroffene, selber nicht beschuldigte Personen nehmen am Strafverfahren als durch Verfahrenshandlungen beschwerte Dritte und damit als andere Verfahrensbeteiligte im Sinne von Art. 105 Abs. 1 lit. f StPO teil. Die Rechtsmittelinstanz darf von ihnen keine Sicherheitsleistung für allfällige Kosten und Entschädigungen verlangen. Art. 383 Abs. 1 StPO ist nicht analog anwendbar (E. 2).</w:t>
      </w:r>
    </w:p>
    <w:p>
      <w:pPr>
        <w:pStyle w:val="Heading2"/>
      </w:pPr>
      <w:r>
        <w:t>Erwägungen</w:t>
      </w:r>
    </w:p>
    <w:p>
      <w:r>
        <w:rPr>
          <w:b/>
        </w:rPr>
        <w:t>E. 2.1</w:t>
      </w:r>
    </w:p>
    <w:p>
      <w:r>
        <w:t>Die Beschwerdeführer rügen, mit dem Wegfall der ursprünglich beantragten Stellung als Privatkläger hätte nach Art. 383 StPO notwendigerweise auch die Kautionspflicht entfallen müssen. Nach dem Konzept der StPO könne zwar die Privatklägerschaft, nicht aber die beschuldigte Person zu einer Sicherheitsleistung verpflichtet werden. Gleiches gelte für die weiteren Verfahrensbeteiligten. Die Vorinstanz habe zu Unrecht an den Kautionen festgehalten.</w:t>
      </w:r>
    </w:p>
    <w:p>
      <w:r>
        <w:rPr>
          <w:b/>
        </w:rPr>
        <w:t>E. 2.2</w:t>
      </w:r>
    </w:p>
    <w:p>
      <w:r>
        <w:t>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Die Sicherheitsleistung nach Art. 383 Abs. 1 StPO bezweckt die Sicherung allfälliger Kosten- und Entschädigungsansprüche des Staats und der beschuldigten Person (Urteil 1B_323/2014 vom 17. Dezember 2014 E. 3.3; SCHMID/JOSITSCH , Schweizerische Strafprozessordnung [StPO], Praxiskommen tar, 3. Aufl. 2018, N. 2 zu Art. 383 StPO ). Die Kosten- und Entschädigungspflicht der Privatklägerschaft im Rechtsmittelverfahren (vgl. Art. 428 Abs. 1 StPO , Art. 436 Abs. 1 i.V.m. Art. 432 StPO ; BGE 139 IV 45 E. 1 S. 46 ff.; siehe allerdings auch BGE 141 IV 476 E. 1 S. 478 ff.) bildet das Gegenstück zu deren sehr weitgehenden Rechtsmittelbefugnissen. Um die Vollstreckung allfälliger Kosten- und Entschädigungsansprüche zu gewährleisten, schuf der Gesetzgeber die Möglichkeit, von der Privatklägerschaft entsprechende Sicherheiten zu verlangen (Urteil 6B_814/2013 vom 28. November 2013 E. 2.2.2; Botschaft vom 21. Dezember 2005 zur Vereinheitlichung des Strafprozessrechts, BBl 2006 1308 Ziff. 2.9.1 zu Art. 391). Die Sicherheitsleistung nach Art. 383 Abs. 1 StPO ist an keine Voraussetzungen gebunden. Dies gilt unbesehen der Frage, ob die Privatklägerschaft ein Rechtsmittel nur im Strafpunkt oder auch imZivilpunkt erhebt (Urteil 6B_814/2013 vom 28. November 2013 E. 2.2.1).</w:t>
      </w:r>
    </w:p>
    <w:p>
      <w:r>
        <w:rPr>
          <w:b/>
        </w:rPr>
        <w:t>E. 2.3</w:t>
      </w:r>
    </w:p>
    <w:p>
      <w:r>
        <w:t>Art. 383 Abs. 1 StPO erwähnt ausschliesslich die Privatklägerschaft. Nach dem Konzept der Schweizerischen Strafprozessordnungkann zwar die Privatklägerschaft, nicht aber die beschuldigte Person zu einer Sicherheitsleistung verpflichtet werden. Die beschuldigte Person kann erst im Verfahren vor Bundesgericht zu einer BGE 144 IV 17 S. 21 Vorschussleistung (Art. 62 f. BGG) angehalten werden. Dies wird damit begründet, dass der beschuldigten Person der Zugang zu einer Rechtsmittelinstanz gemäss Art. 6 EMRK nicht erschwert werden soll bzw. ihre Verteidigungsrechte nicht in einer nicht zu rechtfertigenden Weise eingeschränkt werden sollen (zum Ganzen Urteil 1B_332/2012 vom 15. August 2012 E. 3.4; BBl 2006 1308 f. Ziff. 2.9.1 zu Art. 391). Nach der bundesgerichtlichen Rechtsprechung ist es auch unzulässig, bei der beschuldigten Person im Rahmen einer kantonalen Beschwerde gegen eine Beschlagnahme, d.h. in einem Nebenverfahren, gestützt auf eine kantonale Gerichtskostenverordnung eine Sicherheitsleistung in Form einer "Einschreibgebühr" zu erheben (Urteil 1B_332/2012 vom 15. August 2012 E. 3.4). Nach NIKLAUS OBERHOLZER sollen auch andere Verfahrensbeteiligte (vgl. Art. 105 StPO ) nicht verpflichtet werden können, für allfällige Kosten und Entschädigungen Sicherheit zu leisten (NIKLAUS OBERHOLZER, Das Rechtsmittelsystem der Schweizerischen Strafprozessordnung - Beschwerde, Berufung, Revision, AJP 2011 S. 39 ff., 44). Andere Autoren äussern sich nicht explizit zur Frage der Anwendbarkeit von Art. 383 StPO auf andere Verfahrensbeteiligte. Betont wird aber, dass nur die Privatklägerschaft in Anwendung von Art. 383Abs. 1 StPO zur Kautionsleistung angehalten werden kann (ZIEGLER/KELLER, in: Basler Kommentar, Schweizerische Strafprozessordnung, 2. Aufl. 2014, N. 1 zu Art. 383 StPO ). Gemäss SCHMID/JOSITSCH ist Art. 383 StPO analog anwendbar, wenn Geschädigte Ansprüche aus Einziehungsrecht (Art. 70 Abs. 1 letzter Satzteil und Art. 73 StGB ) auf dem Rechtsmittelweg durchzusetzen versuchen (vgl. SCHMID/JOSITSCH, a.a.O., N. 1 zu Art. 383 StPO ).</w:t>
      </w:r>
    </w:p>
    <w:p>
      <w:r>
        <w:rPr>
          <w:b/>
        </w:rPr>
        <w:t>E. 2.4</w:t>
      </w:r>
    </w:p>
    <w:p>
      <w:r>
        <w:t>Gegen die Beschwerdeführer wurden im vorliegenden Strafverfahren keine strafrechtlichen Vorwürfe erhoben. Das Bezirksgericht verpflichtete sie als durch die Straftaten angeblich Begünstigte jedoch gestützt auf Art. 71 Abs. 1 StGB zur Bezahlung von Ersatzforderungen in der Höhe von Fr. 150'000.-, Fr. 685'000.- bzw. Fr. 30'000.- an den Staat. Die Beschwerdeführer nahmen am Strafverfahren gegen den Beschuldigten daher als durch Verfahrenshandlungen beschwerte Dritte und damit als andere Verfahrensbeteiligte im Sinne von Art. 105 Abs. 1 lit. f StPO teil. Durch eine Einziehung oder Beschlagnahme beschwerte (nicht beschuldigte) Dritte müssen sich - wie die beschuldigte Person - gegen einen staatlichen Eingriff in ihre Rechte zur Wehr setzen können. Ihre Stellung ist insofern vergleichbar mit derjenigen einer beschuldigten Person, deren BGE 144 IV 17 S. 22 Vermögenswerte beschlagnahmt oder eingezogen wurden. Es entspricht daher nicht nur dem Wortlaut von Art. 383 Abs. 1 StPO , sondern auch dem Sinn und Zweck der personellen Beschränkung dieser Bestimmung auf die Privatklägerschaft, dass von ihnen keine Sicherheitsleistung im Sinne von Art. 383 Abs. 1 StPO verlangt werden darf.</w:t>
      </w:r>
    </w:p>
    <w:p>
      <w:r>
        <w:rPr>
          <w:b/>
        </w:rPr>
        <w:t>E. 2.5</w:t>
      </w:r>
    </w:p>
    <w:p>
      <w:r>
        <w:t>Die Vorinstanz argumentierte in der Präsidialverfügung vom 7. September 2017 unter Berufung auf NIKLAUS SCHMID, nicht nur die Privatklägerschaft, sondern auch Verfahrensbeteiligte, welche Ansprüche aus Einziehungsrecht geltend machen würden, könnten verpflichtet werden, für allfällige Kosten und Entschädigungen Sicherheit zu leisten. Die Beschwerdeführer weisen zutreffend darauf hin, dass die von der Vorinstanz zitierte Kommentarstelle (vgl. SCHMID/JOSITSCH, a.a.O., N. 1 zu Art. 383 StPO ; siehe oben E. 2.3) nicht in diesem Sinne verstanden werden kann. Die Kommentatoren sprechen darin den Fall an, dass eine durch eine Straftat geschädigte Person geltend macht, der Einziehung unterliegende Vermögenswerte seien ihr zur Wiederherstellung des rechtmässigen Zustands auszuhändigen (Art. 70 Abs. 1 letzter Satzteil StGB) bzw. eingezogene Gegenstände und Vermögenswerte, deren Verwertungserlös oder Ersatzforderungen seien ihr zur Deckung ihres Schadens oder einer Genugtuung zuzusprechen ( Art. 73 Abs. 1 lit. b und c StGB ). Dies war vorliegend nicht der Fall. Die Beschwerdeführer können alsdurch eine Einziehung Beschwerte nicht mit Privatklägern oder Geschädigten, die gestützt auf Art. 70 Abs. 1 letzter Satzteil oder Art. 73 Abs. 1 lit. b und c StGB Ansprüche geltend machen, gleichgestellt werden.</w:t>
      </w:r>
    </w:p>
    <w:p>
      <w:r>
        <w:rPr>
          <w:b/>
        </w:rPr>
        <w:t>E. 2.6</w:t>
      </w:r>
    </w:p>
    <w:p>
      <w:r>
        <w:t>Die Rüge der Beschwerdeführer ist begründet. Die Vorinstanz durfte von diesen als anderen Verfahrensbeteiligten im Sinne von Art. 105 Abs. 1 lit. f StPO keine Sicherheitsleistungen für die Deckung allfälliger Kosten- und Entschädigungsansprüche verlangen. Damit braucht auf das weitere Vorbringen der Beschwerdeführer betreffend die Höhe der verlangten Kautionen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